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00"/>
      </w:pPr>
      <w:r>
        <w:rPr>
          <w:rFonts w:ascii="Calibri" w:hAnsi="Calibri"/>
          <w:b/>
          <w:color w:val="03356A"/>
          <w:sz w:val="42"/>
        </w:rPr>
        <w:t>ПОЛЬЗОВАТЕЛЬСКОЕ СОГЛАШЕНИЕ</w:t>
        <w:br/>
        <w:t>И ПРАВИЛА COOKIES</w:t>
      </w:r>
    </w:p>
    <w:p>
      <w:pPr>
        <w:spacing w:after="260"/>
      </w:pPr>
      <w:r>
        <w:rPr>
          <w:rFonts w:ascii="Calibri" w:hAnsi="Calibri"/>
          <w:i/>
          <w:color w:val="5C6570"/>
          <w:sz w:val="22"/>
        </w:rPr>
        <w:t>правила использования сайта numerocalc.ru, платформы quantcalc.ru и связанных интернет-ресурсов</w:t>
      </w:r>
    </w:p>
    <w:p>
      <w:pPr>
        <w:pStyle w:val="Heading1"/>
      </w:pPr>
      <w:r>
        <w:t>1. Общие положения</w:t>
      </w:r>
    </w:p>
    <w:p>
      <w:pPr>
        <w:spacing w:after="100" w:line="259" w:lineRule="auto"/>
      </w:pPr>
      <w:r>
        <w:t>1.1. Настоящее Пользовательское соглашение и правила cookies (далее — «Соглашение») определяют условия использования сайта numerocalc.ru, образовательной платформы quantcalc.ru и иных интернет-ресурсов, на которых размещена ссылка на настоящее Соглашение (далее совместно — «Ресурсы»).</w:t>
      </w:r>
    </w:p>
    <w:p>
      <w:pPr>
        <w:spacing w:after="100" w:line="259" w:lineRule="auto"/>
      </w:pPr>
      <w:r>
        <w:t>1.2. Владельцем Ресурсов является Индивидуальный предприниматель Белоножкина Нафиса Давудовна, ИНН 560200052255, ОГРНИП 309565827100281 (далее — «Владелец», «Оператор»).</w:t>
      </w:r>
    </w:p>
    <w:p>
      <w:pPr>
        <w:spacing w:after="100" w:line="259" w:lineRule="auto"/>
      </w:pPr>
      <w:r>
        <w:t>1.3. Используя общедоступные функции Ресурсов, Пользователь обязуется соблюдать применимые правила настоящего Соглашения. Если для конкретного действия законодательство требует отдельного согласия — например, на обработку персональных данных, рекламу либо распространение персональных данных, — такое согласие оформляется отдельно и не считается предоставленным только вследствие посещения сайта.</w:t>
      </w:r>
    </w:p>
    <w:p>
      <w:pPr>
        <w:spacing w:after="100" w:line="259" w:lineRule="auto"/>
      </w:pPr>
      <w:r>
        <w:t>1.4. Заказ и оплата платных продуктов означают заключение соответствующего договора на условиях применимой оферты, карточки продукта, платежной страницы и Правил оплаты и возврата. При противоречии специальных условий конкретного продукта и настоящего Соглашения применяются специальные условия в части соответствующего платного продукта.</w:t>
      </w:r>
    </w:p>
    <w:p>
      <w:pPr>
        <w:pStyle w:val="Heading1"/>
      </w:pPr>
      <w:r>
        <w:t>2. Основные понятия</w:t>
      </w:r>
    </w:p>
    <w:p>
      <w:pPr>
        <w:spacing w:after="100" w:line="259" w:lineRule="auto"/>
      </w:pPr>
      <w:r>
        <w:t>2.1. Пользователь — физическое лицо, посещающее или использующее Ресурсы.</w:t>
      </w:r>
    </w:p>
    <w:p>
      <w:pPr>
        <w:spacing w:after="100" w:line="259" w:lineRule="auto"/>
      </w:pPr>
      <w:r>
        <w:t>2.2. Учетная запись — индивидуальный способ доступа Пользователя к закрытым разделам, образовательной платформе или иным функциям Ресурсов, если такой доступ предоставляется.</w:t>
      </w:r>
    </w:p>
    <w:p>
      <w:pPr>
        <w:spacing w:after="100" w:line="259" w:lineRule="auto"/>
      </w:pPr>
      <w:r>
        <w:t>2.3. Cookie — небольшой фрагмент данных, который сайт сохраняет в браузере или на устройстве Пользователя и впоследствии получает при следующих обращениях. К аналогичным технологиям могут относиться локальное хранилище браузера, пиксели, SDK и иные технические идентификаторы, выполняющие сопоставимые функции.</w:t>
      </w:r>
    </w:p>
    <w:p>
      <w:pPr>
        <w:spacing w:after="100" w:line="259" w:lineRule="auto"/>
      </w:pPr>
      <w:r>
        <w:t>2.4. Сервисное сообщение — сообщение, необходимое для регистрации, авторизации, оплаты, предоставления доступа, изменения расписания, технической поддержки или исполнения уже заключенного договора. Оно не является рекламной рассылкой само по себе.</w:t>
      </w:r>
    </w:p>
    <w:p>
      <w:pPr>
        <w:pStyle w:val="Heading1"/>
      </w:pPr>
      <w:r>
        <w:t>3. Использование Ресурсов</w:t>
      </w:r>
    </w:p>
    <w:p>
      <w:pPr>
        <w:spacing w:after="100" w:line="259" w:lineRule="auto"/>
      </w:pPr>
      <w:r>
        <w:t>3.1. Пользователь вправе просматривать общедоступную информацию, пользоваться доступными сервисами, направлять заявки, оформлять заказы и использовать оплаченные функции в пределах предоставленного доступа.</w:t>
      </w:r>
    </w:p>
    <w:p>
      <w:pPr>
        <w:spacing w:after="100" w:line="259" w:lineRule="auto"/>
      </w:pPr>
      <w:r>
        <w:t>3.2. При наличии учетной записи Пользователь обязан обеспечивать конфиденциальность данных доступа и не передавать доступ третьим лицам, если соответствующим продуктом прямо не разрешено иное.</w:t>
      </w:r>
    </w:p>
    <w:p>
      <w:pPr>
        <w:spacing w:after="100" w:line="259" w:lineRule="auto"/>
      </w:pPr>
      <w:r>
        <w:t>3.3. Пользователь обязуется не использовать Ресурсы для действий, нарушающих законодательство, права Владельца или третьих лиц, в том числе не вправе:</w:t>
      </w:r>
    </w:p>
    <w:p>
      <w:pPr>
        <w:pStyle w:val="ListBullet"/>
        <w:spacing w:after="60" w:line="254" w:lineRule="auto"/>
      </w:pPr>
      <w:r>
        <w:t>обходить технические ограничения и меры контроля доступа;</w:t>
      </w:r>
    </w:p>
    <w:p>
      <w:pPr>
        <w:pStyle w:val="ListBullet"/>
        <w:spacing w:after="60" w:line="254" w:lineRule="auto"/>
      </w:pPr>
      <w:r>
        <w:t>получать несанкционированный доступ к чужим учетным записям, закрытым материалам или информационным системам;</w:t>
      </w:r>
    </w:p>
    <w:p>
      <w:pPr>
        <w:pStyle w:val="ListBullet"/>
        <w:spacing w:after="60" w:line="254" w:lineRule="auto"/>
      </w:pPr>
      <w:r>
        <w:t>распространять вредоносный код, вмешиваться в работу Ресурсов или создавать чрезмерную автоматизированную нагрузку;</w:t>
      </w:r>
    </w:p>
    <w:p>
      <w:pPr>
        <w:pStyle w:val="ListBullet"/>
        <w:spacing w:after="60" w:line="254" w:lineRule="auto"/>
      </w:pPr>
      <w:r>
        <w:t>массово копировать, парсить или извлекать защищенные материалы с целью их воспроизведения, перепродажи, публикации или создания конкурирующего продукта;</w:t>
      </w:r>
    </w:p>
    <w:p>
      <w:pPr>
        <w:pStyle w:val="ListBullet"/>
        <w:spacing w:after="60" w:line="254" w:lineRule="auto"/>
      </w:pPr>
      <w:r>
        <w:t>использовать сведения и материалы Ресурсов способом, нарушающим интеллектуальные, личные неимущественные или иные права третьих лиц.</w:t>
      </w:r>
    </w:p>
    <w:p>
      <w:pPr>
        <w:spacing w:after="100" w:line="259" w:lineRule="auto"/>
      </w:pPr>
      <w:r>
        <w:t>3.4. Владелец вправе временно ограничить доступ при технических работах, угрозе безопасности, злоупотреблении доступом либо нарушении настоящего Соглашения. Такое ограничение не отменяет обязательные права потребителя по уже заключенным договорам.</w:t>
      </w:r>
    </w:p>
    <w:p>
      <w:pPr>
        <w:pStyle w:val="Heading1"/>
      </w:pPr>
      <w:r>
        <w:t>4. Интеллектуальные права</w:t>
      </w:r>
    </w:p>
    <w:p>
      <w:pPr>
        <w:spacing w:after="100" w:line="259" w:lineRule="auto"/>
      </w:pPr>
      <w:r>
        <w:t>4.1. Тексты, дизайн, структура, методические материалы, базы, изображения, видео, программные элементы и иные результаты интеллектуальной деятельности, размещенные на Ресурсах, охраняются законодательством и принадлежат Владельцу либо используются им на законном основании.</w:t>
      </w:r>
    </w:p>
    <w:p>
      <w:pPr>
        <w:spacing w:after="100" w:line="259" w:lineRule="auto"/>
      </w:pPr>
      <w:r>
        <w:t>4.2. Если иное прямо не указано, Пользователю разрешается просматривать общедоступный контент для личных некоммерческих целей. Такое использование не означает передачу исключительных прав.</w:t>
      </w:r>
    </w:p>
    <w:p>
      <w:pPr>
        <w:spacing w:after="100" w:line="259" w:lineRule="auto"/>
      </w:pPr>
      <w:r>
        <w:t>4.3. Условия использования приобретённых цифровых материалов, записей, шаблонов и иных электронных продуктов определяются Единой публичной офертой, карточкой соответствующего продукта и установленными в них лицензионными условиями. Предоставление доступа не означает разрешения на перепродажу, публикацию, передачу общего доступа или загрузку охраняемых материалов в общедоступные базы и системы искусственного интеллекта.</w:t>
      </w:r>
    </w:p>
    <w:p>
      <w:pPr>
        <w:spacing w:after="100" w:line="259" w:lineRule="auto"/>
      </w:pPr>
      <w:r>
        <w:t>4.4. Материалы, созданные Пользователем и переданные Владельцу, могут публиковаться или использоваться Владельцем только при наличии необходимых правовых оснований. Для публикации отзывов, фото, видео, голоса и персональных данных применяются соответствующие отдельные согласия.</w:t>
      </w:r>
    </w:p>
    <w:p>
      <w:pPr>
        <w:pStyle w:val="Heading1"/>
      </w:pPr>
      <w:r>
        <w:t>5. Сторонние сервисы и внешние ссылки</w:t>
      </w:r>
    </w:p>
    <w:p>
      <w:pPr>
        <w:spacing w:after="100" w:line="259" w:lineRule="auto"/>
      </w:pPr>
      <w:r>
        <w:t>5.1. Для работы Ресурсов, приема оплаты, предоставления доступа и коммуникации могут использоваться сторонние сервисы, включая банки, платежные сервисы, Prodamus, хостинг-провайдеров, Telegram и иные технологические платформы.</w:t>
      </w:r>
    </w:p>
    <w:p>
      <w:pPr>
        <w:spacing w:after="100" w:line="259" w:lineRule="auto"/>
      </w:pPr>
      <w:r>
        <w:t>5.2. Переход на сторонний ресурс означает взаимодействие с самостоятельным сервисом, который может применять собственные условия использования, политику конфиденциальности и технологии cookie. Владелец не определяет содержание таких внешних документов, кроме случаев, когда сторонний сервис обрабатывает данные по его поручению.</w:t>
      </w:r>
    </w:p>
    <w:p>
      <w:pPr>
        <w:spacing w:after="100" w:line="259" w:lineRule="auto"/>
      </w:pPr>
      <w:r>
        <w:t>5.3. Актуальные сведения о фактически используемых сторонних сервисах, когда их раскрытие требуется законодательством или необходимо для информирования Пользователя об обработке данных, размещаются в Политике в отношении обработки персональных данных, правилах cookies или ином доступном описании.</w:t>
      </w:r>
    </w:p>
    <w:p>
      <w:pPr>
        <w:pStyle w:val="Heading1"/>
      </w:pPr>
      <w:r>
        <w:t>6. Персональные данные</w:t>
      </w:r>
    </w:p>
    <w:p>
      <w:pPr>
        <w:spacing w:after="100" w:line="259" w:lineRule="auto"/>
      </w:pPr>
      <w:r>
        <w:t>6.1. Обработка персональных данных при использовании Ресурсов осуществляется в соответствии с Политикой в отношении обработки персональных данных Оператора и применимым законодательством Российской Федерации.</w:t>
      </w:r>
    </w:p>
    <w:p>
      <w:pPr>
        <w:spacing w:after="100" w:line="259" w:lineRule="auto"/>
      </w:pPr>
      <w:r>
        <w:t>6.2. При оформлении заказа, заполнении формы, регистрации или предоставлении иных персональных данных Пользователю предоставляется отдельная информация о целях обработки и, когда это требуется, отдельное согласие.</w:t>
      </w:r>
    </w:p>
    <w:p>
      <w:pPr>
        <w:spacing w:after="100" w:line="259" w:lineRule="auto"/>
      </w:pPr>
      <w:r>
        <w:t>6.3. Пользователь не должен направлять через обычные формы сайта специальные категории персональных данных, включая сведения о состоянии здоровья, если такая информация прямо не запрашивается Оператором на законном основании.</w:t>
      </w:r>
    </w:p>
    <w:p>
      <w:pPr>
        <w:spacing w:after="100" w:line="259" w:lineRule="auto"/>
      </w:pPr>
      <w:r>
        <w:t>6.4. Владелец принимает необходимые правовые, организационные и технические меры защиты персональных данных в пределах применимых требований законодательства.</w:t>
      </w:r>
    </w:p>
    <w:p>
      <w:pPr>
        <w:pStyle w:val="Heading1"/>
      </w:pPr>
      <w:r>
        <w:t>7. Общие правила использования cookies</w:t>
      </w:r>
    </w:p>
    <w:p>
      <w:pPr>
        <w:spacing w:after="100" w:line="259" w:lineRule="auto"/>
      </w:pPr>
      <w:r>
        <w:t>7.1. Ресурсы могут использовать cookie и аналогичные технологии для обеспечения работы сайта, авторизации, безопасности, сохранения настроек, аналитики и иных законных целей, указанных в настоящем Соглашении.</w:t>
      </w:r>
    </w:p>
    <w:p>
      <w:pPr>
        <w:spacing w:after="100" w:line="259" w:lineRule="auto"/>
      </w:pPr>
      <w:r>
        <w:t>7.2. Cookie и связанные технические сведения могут включать или позволять связать с Пользователем IP-адрес, идентификатор браузера или устройства, сведения о сессии, дату и время посещения, источник перехода, действия на страницах и иные онлайн-идентификаторы. Когда такие сведения относятся к персональным данным, их обработка осуществляется по правилам законодательства о персональных данных.</w:t>
      </w:r>
    </w:p>
    <w:p>
      <w:pPr>
        <w:spacing w:after="100" w:line="259" w:lineRule="auto"/>
      </w:pPr>
      <w:r>
        <w:t>7.3. Само посещение Ресурса не считается безусловным согласием на любые необязательные cookie. Если для конкретной технологии правовым основанием обработки является согласие Пользователя, она активируется после выражения соответствующего выбора в интерфейсе управления cookies.</w:t>
      </w:r>
    </w:p>
    <w:p>
      <w:pPr>
        <w:pStyle w:val="Heading1"/>
      </w:pPr>
      <w:r>
        <w:t>8. Категории cookies</w:t>
      </w:r>
    </w:p>
    <w:p>
      <w:pPr>
        <w:spacing w:after="100" w:line="259" w:lineRule="auto"/>
      </w:pPr>
      <w:r>
        <w:t>8.1. В зависимости от фактически подключенных функций Ресурсы могут использовать следующие категории:</w:t>
      </w:r>
    </w:p>
    <w:p>
      <w:pPr>
        <w:pStyle w:val="ListBullet"/>
        <w:spacing w:after="60" w:line="254" w:lineRule="auto"/>
      </w:pPr>
      <w:r>
        <w:t>Строго необходимые — обеспечивают загрузку страниц, безопасность, управление сессией, авторизацию, сохранение технического выбора Пользователя и иные функции, без которых запрошенный сервис не может нормально работать.</w:t>
      </w:r>
    </w:p>
    <w:p>
      <w:pPr>
        <w:pStyle w:val="ListBullet"/>
        <w:spacing w:after="60" w:line="254" w:lineRule="auto"/>
      </w:pPr>
      <w:r>
        <w:t>Функциональные — запоминают выбранные Пользователем настройки и дополнительные функции интерфейса.</w:t>
      </w:r>
    </w:p>
    <w:p>
      <w:pPr>
        <w:pStyle w:val="ListBullet"/>
        <w:spacing w:after="60" w:line="254" w:lineRule="auto"/>
      </w:pPr>
      <w:r>
        <w:t>Аналитические и статистические — помогают оценивать посещаемость, источники переходов, использование страниц и технические ошибки для улучшения Ресурсов.</w:t>
      </w:r>
    </w:p>
    <w:p>
      <w:pPr>
        <w:pStyle w:val="ListBullet"/>
        <w:spacing w:after="60" w:line="254" w:lineRule="auto"/>
      </w:pPr>
      <w:r>
        <w:t>Маркетинговые и рекламные — могут использоваться для оценки эффективности рекламы, формирования аудиторий и показа или измерения персонализированных рекламных предложений.</w:t>
      </w:r>
    </w:p>
    <w:p>
      <w:pPr>
        <w:pStyle w:val="ListBullet"/>
        <w:spacing w:after="60" w:line="254" w:lineRule="auto"/>
      </w:pPr>
      <w:r>
        <w:t>Сторонние — устанавливаются или считываются внешними сервисами, подключенными к Ресурсам, в пределах разрешенных Пользователем целей и применимых правовых оснований.</w:t>
      </w:r>
    </w:p>
    <w:p>
      <w:pPr>
        <w:spacing w:after="100" w:line="259" w:lineRule="auto"/>
      </w:pPr>
      <w:r>
        <w:t>8.2. Сведения о фактически используемых cookie, их назначении, поставщиках и сроках хранения предоставляются Пользователю в доступном виде в той мере, в которой это требуется применимым законодательством и фактической конфигурацией Ресурсов.</w:t>
      </w:r>
    </w:p>
    <w:p>
      <w:pPr>
        <w:pStyle w:val="Heading1"/>
      </w:pPr>
      <w:r>
        <w:t>9. Управление согласием на cookies</w:t>
      </w:r>
    </w:p>
    <w:p>
      <w:pPr>
        <w:spacing w:after="100" w:line="259" w:lineRule="auto"/>
      </w:pPr>
      <w:r>
        <w:t>9.1. Если для применения отдельных необязательных cookie требуется согласие Пользователя, Пользователю предоставляется возможность свободно и однозначно принять такие cookie, отказаться от них либо выбрать отдельные категории.</w:t>
      </w:r>
    </w:p>
    <w:p>
      <w:pPr>
        <w:spacing w:after="100" w:line="259" w:lineRule="auto"/>
      </w:pPr>
      <w:r>
        <w:t>9.2. Отказ от необязательных аналитических или маркетинговых cookie не должен препятствовать покупке или использованию основных функций, если такие cookie объективно не необходимы для соответствующей функции. При этом отдельные дополнительные возможности или персональные настройки могут работать ограниченно.</w:t>
      </w:r>
    </w:p>
    <w:p>
      <w:pPr>
        <w:spacing w:after="100" w:line="259" w:lineRule="auto"/>
      </w:pPr>
      <w:r>
        <w:t>9.3. Пользователь вправе изменить или отозвать ранее выраженный выбор доступным на Ресурсе способом либо удалить или заблокировать cookie средствами браузера. Удаление cookie может потребовать повторного выбора настроек при следующем посещении.</w:t>
      </w:r>
    </w:p>
    <w:p>
      <w:pPr>
        <w:spacing w:after="100" w:line="259" w:lineRule="auto"/>
      </w:pPr>
      <w:r>
        <w:t>9.4. Строго необходимые cookie могут применяться без включения необязательных категорий, когда они объективно необходимы для предоставления запрошенной Пользователем функции, обеспечения безопасности, сохранения выбора или исполнения договора и имеются соответствующие законные основания.</w:t>
      </w:r>
    </w:p>
    <w:p>
      <w:pPr>
        <w:spacing w:after="100" w:line="259" w:lineRule="auto"/>
      </w:pPr>
      <w:r>
        <w:t>9.5. Владелец вправе фиксировать дату и время выбора, версию правил, категорию согласия, технический идентификатор сессии и иные сведения, необходимые для подтверждения факта и содержания пользовательского выбора.</w:t>
      </w:r>
    </w:p>
    <w:p>
      <w:pPr>
        <w:pStyle w:val="Heading1"/>
      </w:pPr>
      <w:r>
        <w:t>10. Аналитика, реклама и сторонние технологии</w:t>
      </w:r>
    </w:p>
    <w:p>
      <w:pPr>
        <w:spacing w:after="100" w:line="259" w:lineRule="auto"/>
      </w:pPr>
      <w:r>
        <w:t>10.1. Подключение аналитических или рекламных сервисов допускается только при наличии применимого правового основания и соблюдении требований Политики обработки персональных данных.</w:t>
      </w:r>
    </w:p>
    <w:p>
      <w:pPr>
        <w:spacing w:after="100" w:line="259" w:lineRule="auto"/>
      </w:pPr>
      <w:r>
        <w:t>10.2. Если использование сторонней технологии предполагает передачу персональных данных иностранному получателю, Оператор до начала такой передачи выполняет требования законодательства Российской Федерации о трансграничной передаче персональных данных.</w:t>
      </w:r>
    </w:p>
    <w:p>
      <w:pPr>
        <w:spacing w:after="100" w:line="259" w:lineRule="auto"/>
      </w:pPr>
      <w:r>
        <w:t>10.3. Первичный сбор персональных данных граждан Российской Федерации через Интернет организуется с учетом требований законодательства о локализации персональных данных.</w:t>
      </w:r>
    </w:p>
    <w:p>
      <w:pPr>
        <w:spacing w:after="100" w:line="259" w:lineRule="auto"/>
      </w:pPr>
      <w:r>
        <w:t>10.4. Изменение состава аналитических и рекламных сервисов осуществляется с соблюдением требований законодательства о персональных данных, локализации и трансграничной передаче, а также с актуализацией информации для Пользователей в случаях, когда такая актуализация необходима.</w:t>
      </w:r>
    </w:p>
    <w:p>
      <w:pPr>
        <w:pStyle w:val="Heading1"/>
      </w:pPr>
      <w:r>
        <w:t>11. Ограничение ответственности и техническая доступность</w:t>
      </w:r>
    </w:p>
    <w:p>
      <w:pPr>
        <w:spacing w:after="100" w:line="259" w:lineRule="auto"/>
      </w:pPr>
      <w:r>
        <w:t>11.1. Владелец стремится поддерживать работоспособность Ресурсов, однако не гарантирует абсолютную непрерывность работы Интернета, сторонних платформ, банковских систем, мессенджеров и иных независимых сервисов.</w:t>
      </w:r>
    </w:p>
    <w:p>
      <w:pPr>
        <w:spacing w:after="100" w:line="259" w:lineRule="auto"/>
      </w:pPr>
      <w:r>
        <w:t>11.2. Технический сбой не освобождает Владельца от обязанностей по уже заключенному договору. При невозможности получить оплаченный доступ Пользователь вправе обратиться за технической поддержкой, а права в связи с недостатками или отказом от услуги определяются соответствующим договором, Правилами оплаты и возврата и законодательством.</w:t>
      </w:r>
    </w:p>
    <w:p>
      <w:pPr>
        <w:spacing w:after="100" w:line="259" w:lineRule="auto"/>
      </w:pPr>
      <w:r>
        <w:t>11.3. Общедоступные информационные материалы не являются индивидуальной медицинской, юридической, финансовой или психологической рекомендацией и сами по себе не гарантируют конкретный экономический или жизненный результат.</w:t>
      </w:r>
    </w:p>
    <w:p>
      <w:pPr>
        <w:pStyle w:val="Heading1"/>
      </w:pPr>
      <w:r>
        <w:t>12. Изменение Соглашения</w:t>
      </w:r>
    </w:p>
    <w:p>
      <w:pPr>
        <w:spacing w:after="100" w:line="259" w:lineRule="auto"/>
      </w:pPr>
      <w:r>
        <w:t>12.1. Владелец вправе обновлять настоящее Соглашение при изменении законодательства, функциональности Ресурсов, используемых сервисов или технологии обработки данных.</w:t>
      </w:r>
    </w:p>
    <w:p>
      <w:pPr>
        <w:spacing w:after="100" w:line="259" w:lineRule="auto"/>
      </w:pPr>
      <w:r>
        <w:t>12.2. Новая редакция применяется с даты ее размещения, если в ней не указан более поздний срок. Изменение настоящего Соглашения не возобновляет ранее отозванное согласие и не заменяет получение нового отдельного согласия, когда оно требуется по закону.</w:t>
      </w:r>
    </w:p>
    <w:p>
      <w:pPr>
        <w:spacing w:after="100" w:line="259" w:lineRule="auto"/>
      </w:pPr>
      <w:r>
        <w:t>12.3. Условия уже оплаченного продукта не могут быть ухудшены односторонним изменением настоящего Соглашения в той части, в которой отношения регулируются заключенным договором и обязательными нормами законодательства.</w:t>
      </w:r>
    </w:p>
    <w:p>
      <w:pPr>
        <w:pStyle w:val="Heading1"/>
      </w:pPr>
      <w:r>
        <w:t>13. Контакты и реквизиты</w:t>
      </w:r>
    </w:p>
    <w:p>
      <w:pPr>
        <w:spacing w:after="60"/>
      </w:pPr>
      <w:r>
        <w:rPr>
          <w:b/>
          <w:color w:val="164F9C"/>
        </w:rPr>
        <w:t xml:space="preserve">Владелец / Оператор: </w:t>
      </w:r>
      <w:r>
        <w:t>Индивидуальный предприниматель Белоножкина Нафиса Давудовна</w:t>
      </w:r>
    </w:p>
    <w:p>
      <w:pPr>
        <w:spacing w:after="60"/>
      </w:pPr>
      <w:r>
        <w:rPr>
          <w:b/>
          <w:color w:val="164F9C"/>
        </w:rPr>
        <w:t xml:space="preserve">ИНН: </w:t>
      </w:r>
      <w:r>
        <w:t>560200052255</w:t>
      </w:r>
    </w:p>
    <w:p>
      <w:pPr>
        <w:spacing w:after="60"/>
      </w:pPr>
      <w:r>
        <w:rPr>
          <w:b/>
          <w:color w:val="164F9C"/>
        </w:rPr>
        <w:t xml:space="preserve">ОГРНИП: </w:t>
      </w:r>
      <w:r>
        <w:t>309565827100281</w:t>
      </w:r>
    </w:p>
    <w:p>
      <w:pPr>
        <w:spacing w:after="60"/>
      </w:pPr>
      <w:r>
        <w:rPr>
          <w:b/>
          <w:color w:val="164F9C"/>
        </w:rPr>
        <w:t xml:space="preserve">Юридический адрес: </w:t>
      </w:r>
      <w:r>
        <w:t>108814, Россия, г. Москва, поселение Сосенское, поселок Коммунарка, ул. Александры Монаховой, д. 23, кв. 119</w:t>
      </w:r>
    </w:p>
    <w:p>
      <w:pPr>
        <w:spacing w:after="60"/>
      </w:pPr>
      <w:r>
        <w:rPr>
          <w:b/>
          <w:color w:val="164F9C"/>
        </w:rPr>
        <w:t xml:space="preserve">Электронная почта: </w:t>
      </w:r>
      <w:r>
        <w:t>raduga-425@mail.ru</w:t>
      </w:r>
    </w:p>
    <w:p>
      <w:pPr>
        <w:spacing w:after="60"/>
      </w:pPr>
      <w:r>
        <w:rPr>
          <w:b/>
          <w:color w:val="164F9C"/>
        </w:rPr>
        <w:t xml:space="preserve">Телефон: </w:t>
      </w:r>
      <w:r>
        <w:t>+7 (965) 259-92-59</w:t>
      </w:r>
    </w:p>
    <w:p>
      <w:pPr>
        <w:spacing w:after="60"/>
      </w:pPr>
      <w:r>
        <w:rPr>
          <w:b/>
          <w:color w:val="164F9C"/>
        </w:rPr>
        <w:t xml:space="preserve">Сайт: </w:t>
      </w:r>
      <w:r>
        <w:t>numerocalc.ru</w:t>
      </w:r>
    </w:p>
    <w:p>
      <w:pPr>
        <w:spacing w:after="60"/>
      </w:pPr>
      <w:r>
        <w:rPr>
          <w:b/>
          <w:color w:val="164F9C"/>
        </w:rPr>
        <w:t xml:space="preserve">Образовательная платформа: </w:t>
      </w:r>
      <w:r>
        <w:t>quantcalc.ru</w:t>
      </w:r>
    </w:p>
    <w:p>
      <w:pPr>
        <w:spacing w:before="160"/>
      </w:pPr>
      <w:r>
        <w:rPr>
          <w:b/>
          <w:color w:val="164F9C"/>
        </w:rPr>
        <w:t>Редакция действует с 04 сентября 2026 года.</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Calibri" w:hAnsi="Calibri" w:eastAsia="Calibri"/>
        <w:color w:val="5C6570"/>
        <w:sz w:val="16"/>
      </w:rPr>
      <w:t xml:space="preserve">Редакция от 04.09.2026  •  </w:t>
    </w:r>
    <w:r>
      <w:rPr>
        <w:color w:val="5C6570"/>
        <w:sz w:val="16"/>
      </w:rPr>
      <w:t xml:space="preserve">Страница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5C6570"/>
        <w:sz w:val="16"/>
      </w:rPr>
      <w:t>ИП БЕЛОНОЖКИНА Н. Д.  |  ЮРИДИЧЕСКИЕ ДОКУМЕНТЫ</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164F9C"/>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64F9C"/>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03356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Note">
    <w:name w:val="Legal Note"/>
    <w:pPr>
      <w:spacing w:before="120" w:after="160" w:line="264" w:lineRule="auto"/>
      <w:ind w:left="259" w:right="259"/>
    </w:pPr>
    <w:rPr>
      <w:rFonts w:ascii="Calibri" w:hAnsi="Calibri"/>
      <w:color w:val="03356A"/>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 Паспорт комплекта и чек-лист</dc:title>
  <dc:subject>Юридические документы ИП Белоножкиной Нафисы Давудовны</dc:subject>
  <dc:creator>ИП Белоножкина Нафиса Давудовна</dc:creator>
  <cp:keywords>оферта, персональные данные, онлайн-курс, консультации</cp:keywords>
  <dc:description>Редакция от 04.09.2026</dc:description>
  <cp:lastModifiedBy/>
  <cp:revision>1</cp:revision>
  <dcterms:created xsi:type="dcterms:W3CDTF">2013-12-23T23:15:00Z</dcterms:created>
  <dcterms:modified xsi:type="dcterms:W3CDTF">2013-12-23T23:15:00Z</dcterms:modified>
  <cp:category/>
</cp:coreProperties>
</file>