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100"/>
      </w:pPr>
      <w:r>
        <w:rPr>
          <w:rFonts w:ascii="Calibri" w:hAnsi="Calibri"/>
          <w:b/>
          <w:color w:val="03356A"/>
          <w:sz w:val="42"/>
        </w:rPr>
        <w:t>ПРАВИЛА ОПЛАТЫ И ВОЗВРАТА</w:t>
      </w:r>
    </w:p>
    <w:p>
      <w:pPr>
        <w:spacing w:after="260"/>
      </w:pPr>
      <w:r>
        <w:rPr>
          <w:rFonts w:ascii="Calibri" w:hAnsi="Calibri"/>
          <w:i/>
          <w:color w:val="5C6570"/>
          <w:sz w:val="22"/>
        </w:rPr>
        <w:t>для образовательных услуг, консультаций, клуба по подписке и цифровых продуктов</w:t>
      </w:r>
    </w:p>
    <w:p>
      <w:pPr>
        <w:pStyle w:val="Heading1"/>
      </w:pPr>
      <w:r>
        <w:t>1. Общие положения</w:t>
      </w:r>
    </w:p>
    <w:p>
      <w:pPr>
        <w:spacing w:after="100" w:line="259" w:lineRule="auto"/>
      </w:pPr>
      <w:r>
        <w:t>1.1. Настоящие Правила оплаты и возврата (далее — «Правила») применяются к отношениям между Индивидуальным предпринимателем Белоножкиной Нафисой Давудовной (далее — «Исполнитель») и заказчиками ее услуг и цифровых продуктов (далее — «Заказчик»).</w:t>
      </w:r>
    </w:p>
    <w:p>
      <w:pPr>
        <w:spacing w:after="100" w:line="259" w:lineRule="auto"/>
      </w:pPr>
      <w:r>
        <w:t>1.2. Правила распространяются на онлайн-обучение, индивидуальные и групповые консультации, диагностику, индивидуальный подбор номера телефона, участие в клубе по подписке «Коды жизни», цифровые материалы, записи, шаблоны и иные продукты, прямо указанные на numerocalc.ru, quantcalc.ru, в платежной странице, счете или договоре.</w:t>
      </w:r>
    </w:p>
    <w:p>
      <w:pPr>
        <w:spacing w:after="100" w:line="259" w:lineRule="auto"/>
      </w:pPr>
      <w:r>
        <w:t>1.3. Конкретная цена, состав продукта, срок, тариф, способ предоставления и специальные условия определяются информацией, доступной Заказчику до оплаты. При расхождении настоящих Правил с индивидуальным договором применяется индивидуальный договор; обязательные права потребителя сохраняются в любом случае.</w:t>
      </w:r>
    </w:p>
    <w:p>
      <w:pPr>
        <w:spacing w:after="100" w:line="259" w:lineRule="auto"/>
      </w:pPr>
      <w:r>
        <w:t>1.4. Настоящие Правила не устанавливают штрафов за законный отказ потребителя и не содержат безусловного запрета на возврат денежных средств после открытия доступа.</w:t>
      </w:r>
    </w:p>
    <w:p>
      <w:pPr>
        <w:pStyle w:val="Heading1"/>
      </w:pPr>
      <w:r>
        <w:t>2. Способы и момент оплаты</w:t>
      </w:r>
    </w:p>
    <w:p>
      <w:pPr>
        <w:spacing w:after="100" w:line="259" w:lineRule="auto"/>
      </w:pPr>
      <w:r>
        <w:t>2.1. Оплата производится в российских рублях посредством интернет-эквайринга либо платежной системы Prodamus. При банковской рассрочке или кредите расчёты осуществляются с учётом условий отдельного договора Заказчика с кредитной организацией.</w:t>
      </w:r>
    </w:p>
    <w:p>
      <w:pPr>
        <w:spacing w:after="100" w:line="259" w:lineRule="auto"/>
      </w:pPr>
      <w:r>
        <w:t>2.2. Обязанность Заказчика по оплате считается исполненной после подтверждения платежа платежным провайдером или поступления денежных средств Исполнителю.</w:t>
      </w:r>
    </w:p>
    <w:p>
      <w:pPr>
        <w:spacing w:after="100" w:line="259" w:lineRule="auto"/>
      </w:pPr>
      <w:r>
        <w:t>2.3. При наличии технической возможности оплата может производиться полностью, по согласованному внутреннему графику либо с использованием банковской рассрочки/кредита. Банковская рассрочка или кредит являются отдельными отношениями Заказчика с соответствующей кредитной организацией.</w:t>
      </w:r>
    </w:p>
    <w:p>
      <w:pPr>
        <w:spacing w:after="100" w:line="259" w:lineRule="auto"/>
      </w:pPr>
      <w:r>
        <w:t>2.4. После оплаты Исполнитель формирует кассовый чек в случаях и порядке, предусмотренных законодательством Российской Федерации. Заказчик обязан указывать корректный телефон и/или адрес электронной почты для получения чека и сервисных уведомлений.</w:t>
      </w:r>
    </w:p>
    <w:p>
      <w:pPr>
        <w:spacing w:after="100" w:line="259" w:lineRule="auto"/>
      </w:pPr>
      <w:r>
        <w:t>2.5. Цена уже оплаченного объема не увеличивается. Изменение цены подписки или будущего периода допускается только в порядке, предусмотренном соответствующей офертой и законодательством.</w:t>
      </w:r>
    </w:p>
    <w:p>
      <w:pPr>
        <w:pStyle w:val="Heading1"/>
      </w:pPr>
      <w:r>
        <w:t>3. Общие правила отказа от услуг и расчета возврата</w:t>
      </w:r>
    </w:p>
    <w:p>
      <w:pPr>
        <w:spacing w:after="100" w:line="259" w:lineRule="auto"/>
      </w:pPr>
      <w:r>
        <w:t>3.1. Заказчик-потребитель вправе отказаться от договора оказания услуг в любое время. При отказе возврату подлежит уплаченная сумма за вычетом стоимости той части услуг, которая к моменту получения отказа фактически оказана, а также документально подтвержденных расходов Исполнителя, непосредственно связанных с исполнением конкретного договора, если такие расходы не включены в стоимость уже оказанной части.</w:t>
      </w:r>
    </w:p>
    <w:p>
      <w:pPr>
        <w:spacing w:after="100" w:line="259" w:lineRule="auto"/>
      </w:pPr>
      <w:r>
        <w:t>3.2. Исполнитель не удерживает штраф, фиксированную «комиссию за возврат» или иную плату только за сам факт отказа потребителя.</w:t>
      </w:r>
    </w:p>
    <w:p>
      <w:pPr>
        <w:spacing w:after="100" w:line="259" w:lineRule="auto"/>
      </w:pPr>
      <w:r>
        <w:t>3.3. Само по себе предоставление логина, открытие личного кабинета, переход по ссылке или техническая активация доступа не означают автоматического оказания всех услуг по договору и не лишают Заказчика права заявить отказ.</w:t>
      </w:r>
    </w:p>
    <w:p>
      <w:pPr>
        <w:spacing w:after="100" w:line="259" w:lineRule="auto"/>
      </w:pPr>
      <w:r>
        <w:t>3.4. При расчете учитывается фактический объем исполнения к моменту получения заявления: предоставленные модули и занятия, проведенные эфиры и консультации, выполненные проверки и обратная связь, подготовленная индивидуальная работа, предоставленные лицензии на отдельные цифровые материалы и иные реально выполненные этапы.</w:t>
      </w:r>
    </w:p>
    <w:p>
      <w:pPr>
        <w:spacing w:after="100" w:line="259" w:lineRule="auto"/>
      </w:pPr>
      <w:r>
        <w:t>3.5. Если до оплаты была согласована стоимость отдельных этапов, расчет производится по такой разбивке. Если разбивка отсутствует, Исполнитель рассчитывает стоимость выполненной части разумно и пропорционально фактическому объему исполнения и по запросу предоставляет Заказчику объяснение расчета.</w:t>
      </w:r>
    </w:p>
    <w:p>
      <w:pPr>
        <w:pStyle w:val="Heading1"/>
      </w:pPr>
      <w:r>
        <w:t>4. Онлайн-обучение</w:t>
      </w:r>
    </w:p>
    <w:p>
      <w:pPr>
        <w:spacing w:after="100" w:line="259" w:lineRule="auto"/>
      </w:pPr>
      <w:r>
        <w:t>4.1. До начала оказания образовательных услуг и до предоставления отдельных платных цифровых материалов Заказчик вправе отказаться от договора; при отсутствии фактически оказанных услуг и подтвержденных расходов уплаченная сумма возвращается полностью.</w:t>
      </w:r>
    </w:p>
    <w:p>
      <w:pPr>
        <w:spacing w:after="100" w:line="259" w:lineRule="auto"/>
      </w:pPr>
      <w:r>
        <w:t>4.2. После начала обучения размер возврата определяется на дату получения заявления с учетом фактически предоставленной части программы: открытых и реально предоставленных модулей, проведенных онлайн-встреч, проверенных заданий, индивидуальной обратной связи и иных предусмотренных тарифом этапов.</w:t>
      </w:r>
    </w:p>
    <w:p>
      <w:pPr>
        <w:spacing w:after="100" w:line="259" w:lineRule="auto"/>
      </w:pPr>
      <w:r>
        <w:t>4.3. Бессрочный срок доступа к материалам, если он предусмотрен продуктом, сам по себе не означает, что вся цена курса считается оказанной в первый день. При досрочном отказе оценивается фактическое исполнение на момент отказа и правовой режим уже предоставленных цифровых материалов.</w:t>
      </w:r>
    </w:p>
    <w:p>
      <w:pPr>
        <w:spacing w:after="100" w:line="259" w:lineRule="auto"/>
      </w:pPr>
      <w:r>
        <w:t>4.4. При прекращении договора Исполнитель прекращает оказание неоказанной части услуг и вправе закрыть доступ к неоплаченной либо возвращённой части программы. Право личного использования цифровых материалов, фактически предоставленных и оставшихся оплаченными после расчёта возврата, сохраняется в пределах лицензии, установленной Единой публичной офертой.</w:t>
      </w:r>
    </w:p>
    <w:p>
      <w:pPr>
        <w:pStyle w:val="Heading1"/>
      </w:pPr>
      <w:r>
        <w:t>5. Консультации, диагностика и индивидуальный подбор номера</w:t>
      </w:r>
    </w:p>
    <w:p>
      <w:pPr>
        <w:spacing w:after="100" w:line="259" w:lineRule="auto"/>
      </w:pPr>
      <w:r>
        <w:t>5.1. Если заявление об отказе получено до начала индивидуальной работы и Исполнитель не понес связанных с заказом расходов, оплаченная сумма возвращается полностью.</w:t>
      </w:r>
    </w:p>
    <w:p>
      <w:pPr>
        <w:spacing w:after="100" w:line="259" w:lineRule="auto"/>
      </w:pPr>
      <w:r>
        <w:t>5.2. Если работа уже начата, при расчете учитывается реально выполненный объем: анализ исходных данных, подготовленные расчеты и варианты, проведенная консультация, сформированный индивидуальный результат и иные согласованные этапы.</w:t>
      </w:r>
    </w:p>
    <w:p>
      <w:pPr>
        <w:spacing w:after="100" w:line="259" w:lineRule="auto"/>
      </w:pPr>
      <w:r>
        <w:t>5.3. После полного и надлежащего предоставления индивидуального результата основанием для возврата не является только субъективное несогласие Заказчика с выводами авторской методики. Это не ограничивает права при недостатках услуги, несоответствии согласованному заданию или ином нарушении договора.</w:t>
      </w:r>
    </w:p>
    <w:p>
      <w:pPr>
        <w:pStyle w:val="Heading1"/>
      </w:pPr>
      <w:r>
        <w:t>6. Клуб по подписке «Коды жизни»</w:t>
      </w:r>
    </w:p>
    <w:p>
      <w:pPr>
        <w:spacing w:after="100" w:line="259" w:lineRule="auto"/>
      </w:pPr>
      <w:r>
        <w:t>6.1. Стоимость одного месячного периода доступа составляет 990 (девятьсот девяносто) рублей, если до оплаты Заказчику не сообщена и не подтверждена иная цена для будущего периода.</w:t>
      </w:r>
    </w:p>
    <w:p>
      <w:pPr>
        <w:spacing w:after="100" w:line="259" w:lineRule="auto"/>
      </w:pPr>
      <w:r>
        <w:t>6.2. Подписка имеет абонентский характер: плата вносится за возможность пользоваться предусмотренным клубом доступом и активностями в течение оплаченного периода независимо от фактической активности участника.</w:t>
      </w:r>
    </w:p>
    <w:p>
      <w:pPr>
        <w:spacing w:after="100" w:line="259" w:lineRule="auto"/>
      </w:pPr>
      <w:r>
        <w:t>6.3. Заказчик вправе в любое время отменить автоматическое продление через интерфейс платежного сервиса, ссылку управления подпиской либо обращением на raduga-425@mail.ru. После своевременно полученной отмены новые списания не производятся.</w:t>
      </w:r>
    </w:p>
    <w:p>
      <w:pPr>
        <w:spacing w:after="100" w:line="259" w:lineRule="auto"/>
      </w:pPr>
      <w:r>
        <w:t>6.4. Если Заказчик только отменяет дальнейшее продление и не заявляет требование о досрочном прекращении текущего периода, доступ сохраняется до окончания уже оплаченного периода.</w:t>
      </w:r>
    </w:p>
    <w:p>
      <w:pPr>
        <w:spacing w:after="100" w:line="259" w:lineRule="auto"/>
      </w:pPr>
      <w:r>
        <w:t>6.5. Если Заказчик одновременно требует досрочно прекратить текущий оплаченный период и вернуть деньги, требование рассматривается с учетом абонентского характера договора, фактически предоставленного периода доступа, оказанных услуг и обязательных прав потребителя. Штраф за прекращение подписки не взимается.</w:t>
      </w:r>
    </w:p>
    <w:p>
      <w:pPr>
        <w:spacing w:after="100" w:line="259" w:lineRule="auto"/>
      </w:pPr>
      <w:r>
        <w:t>6.6. При возврате платы за текущий период доступ может быть прекращен с момента фактического прекращения договора или осуществления возврата, если стороны не согласовали иное.</w:t>
      </w:r>
    </w:p>
    <w:p>
      <w:pPr>
        <w:pStyle w:val="Heading1"/>
      </w:pPr>
      <w:r>
        <w:t>7. Цифровые материалы и электронные продукты</w:t>
      </w:r>
    </w:p>
    <w:p>
      <w:pPr>
        <w:spacing w:after="100" w:line="259" w:lineRule="auto"/>
      </w:pPr>
      <w:r>
        <w:t>7.1. До предоставления файла, рабочей ссылки, ключа или иного доступа к отдельному цифровому продукту Заказчик вправе отказаться от заказа и потребовать возврата уплаченной суммы, если Исполнитель не понес иных непосредственно связанных с заказом расходов.</w:t>
      </w:r>
    </w:p>
    <w:p>
      <w:pPr>
        <w:spacing w:after="100" w:line="259" w:lineRule="auto"/>
      </w:pPr>
      <w:r>
        <w:t>7.2. После надлежащего предоставления цифрового продукта вопрос о возврате рассматривается с учетом объема фактически предоставленного права использования, качества продукта, соответствия описанию, технической возможности использования и иных обстоятельств конкретного заказа. Безусловный запрет на законные требования потребителя не устанавливается.</w:t>
      </w:r>
    </w:p>
    <w:p>
      <w:pPr>
        <w:spacing w:after="100" w:line="259" w:lineRule="auto"/>
      </w:pPr>
      <w:r>
        <w:t>7.3. Если файл не открывается, ссылка не работает либо имеется иной технический недостаток, Заказчик сообщает об этом Исполнителю. Исполнитель проверяет обращение и при подтверждении недостатка повторно предоставляет материал, исправляет техническую проблему или предлагает эквивалентный способ доступа; обязательные права потребителя при недостатках сохраняются.</w:t>
      </w:r>
    </w:p>
    <w:p>
      <w:pPr>
        <w:pStyle w:val="Heading1"/>
      </w:pPr>
      <w:r>
        <w:t>8. Недостатки услуги и нарушение условий</w:t>
      </w:r>
    </w:p>
    <w:p>
      <w:pPr>
        <w:spacing w:after="100" w:line="259" w:lineRule="auto"/>
      </w:pPr>
      <w:r>
        <w:t>8.1. При обнаружении недостатков оказанной услуги Заказчик вправе использовать способы защиты, предусмотренные законодательством Российской Федерации, включая требование об устранении недостатков, соответствующем уменьшении цены, повторном оказании соответствующей части услуги и в предусмотренных законом случаях — отказ от договора и возврат денежных средств.</w:t>
      </w:r>
    </w:p>
    <w:p>
      <w:pPr>
        <w:spacing w:after="100" w:line="259" w:lineRule="auto"/>
      </w:pPr>
      <w:r>
        <w:t>8.2. Денежные требования, для которых законодательством установлен десятидневный срок удовлетворения, рассматриваются и исполняются в такой срок со дня предъявления соответствующего требования.</w:t>
      </w:r>
    </w:p>
    <w:p>
      <w:pPr>
        <w:spacing w:after="100" w:line="259" w:lineRule="auto"/>
      </w:pPr>
      <w:r>
        <w:t>8.3. Установленные настоящими Правилами процедуры обращения не исключают и не уменьшают права Заказчика, предусмотренные Законом РФ «О защите прав потребителей» и иными обязательными нормами.</w:t>
      </w:r>
    </w:p>
    <w:p>
      <w:pPr>
        <w:pStyle w:val="Heading1"/>
      </w:pPr>
      <w:r>
        <w:t>9. Как подать заявление на возврат</w:t>
      </w:r>
    </w:p>
    <w:p>
      <w:pPr>
        <w:spacing w:after="100" w:line="259" w:lineRule="auto"/>
      </w:pPr>
      <w:r>
        <w:t>9.1. Заявление направляется на электронную почту: raduga-425@mail.ru. Для оперативной идентификации платежа рекомендуется указать:</w:t>
      </w:r>
    </w:p>
    <w:p>
      <w:pPr>
        <w:pStyle w:val="ListBullet"/>
        <w:spacing w:after="60" w:line="254" w:lineRule="auto"/>
      </w:pPr>
      <w:r>
        <w:t>фамилию, имя и отчество Заказчика;</w:t>
      </w:r>
    </w:p>
    <w:p>
      <w:pPr>
        <w:pStyle w:val="ListBullet"/>
        <w:spacing w:after="60" w:line="254" w:lineRule="auto"/>
      </w:pPr>
      <w:r>
        <w:t>телефон и адрес электронной почты, указанные при покупке;</w:t>
      </w:r>
    </w:p>
    <w:p>
      <w:pPr>
        <w:pStyle w:val="ListBullet"/>
        <w:spacing w:after="60" w:line="254" w:lineRule="auto"/>
      </w:pPr>
      <w:r>
        <w:t>название продукта, услуги или тарифа;</w:t>
      </w:r>
    </w:p>
    <w:p>
      <w:pPr>
        <w:pStyle w:val="ListBullet"/>
        <w:spacing w:after="60" w:line="254" w:lineRule="auto"/>
      </w:pPr>
      <w:r>
        <w:t>дату и сумму оплаты;</w:t>
      </w:r>
    </w:p>
    <w:p>
      <w:pPr>
        <w:pStyle w:val="ListBullet"/>
        <w:spacing w:after="60" w:line="254" w:lineRule="auto"/>
      </w:pPr>
      <w:r>
        <w:t>номер заказа, чека или иные данные платежа, если они доступны;</w:t>
      </w:r>
    </w:p>
    <w:p>
      <w:pPr>
        <w:pStyle w:val="ListBullet"/>
        <w:spacing w:after="60" w:line="254" w:lineRule="auto"/>
      </w:pPr>
      <w:r>
        <w:t>содержание требования: отмена будущего продления, отказ от договора, возврат всей или части суммы, претензия по качеству;</w:t>
      </w:r>
    </w:p>
    <w:p>
      <w:pPr>
        <w:pStyle w:val="ListBullet"/>
        <w:spacing w:after="60" w:line="254" w:lineRule="auto"/>
      </w:pPr>
      <w:r>
        <w:t>реквизиты для возврата только в случае, если возврат на исходный способ оплаты технически невозможен или требуется иной порядок.</w:t>
      </w:r>
    </w:p>
    <w:p>
      <w:pPr>
        <w:spacing w:after="100" w:line="259" w:lineRule="auto"/>
      </w:pPr>
      <w:r>
        <w:t>9.2. Отсутствие отдельных необязательных сведений не является основанием для отказа в рассмотрении обращения, если Исполнитель может достоверно идентифицировать Заказчика, платеж и содержание требования.</w:t>
      </w:r>
    </w:p>
    <w:p>
      <w:pPr>
        <w:spacing w:after="100" w:line="259" w:lineRule="auto"/>
      </w:pPr>
      <w:r>
        <w:t>9.3. Заявление рассматривается и, при наличии оснований для возврата, Исполнитель инициирует возврат в срок не более 10 календарных дней с даты получения достаточно определённого заявления, если законодательством для конкретного требования не установлен иной обязательный срок.</w:t>
      </w:r>
    </w:p>
    <w:p>
      <w:pPr>
        <w:pStyle w:val="Heading1"/>
      </w:pPr>
      <w:r>
        <w:t>10. Способ возврата денежных средств</w:t>
      </w:r>
    </w:p>
    <w:p>
      <w:pPr>
        <w:spacing w:after="100" w:line="259" w:lineRule="auto"/>
      </w:pPr>
      <w:r>
        <w:t>10.1. Возврат по возможности производится тем же способом, которым была совершена оплата, через соответствующий банк, интернет-эквайринг или платежный сервис. Фактический срок зачисления после инициирования возврата может зависеть от банка и платежной инфраструктуры.</w:t>
      </w:r>
    </w:p>
    <w:p>
      <w:pPr>
        <w:spacing w:after="100" w:line="259" w:lineRule="auto"/>
      </w:pPr>
      <w:r>
        <w:t>10.2. Если возврат на исходный платежный инструмент объективно невозможен, Исполнитель согласовывает с Заказчиком другой законный способ возврата и вправе запросить необходимые платежные реквизиты.</w:t>
      </w:r>
    </w:p>
    <w:p>
      <w:pPr>
        <w:spacing w:after="100" w:line="259" w:lineRule="auto"/>
      </w:pPr>
      <w:r>
        <w:t>10.3. При оплате банковским кредитом или рассрочкой возврат Исполнителем денежных средств не заменяет действия, которые по условиям кредитного договора должен совершить Заказчик перед банком. Порядок зачета возврата, досрочного погашения и прекращения кредитных обязательств определяется банком и договором Заказчика с ним.</w:t>
      </w:r>
    </w:p>
    <w:p>
      <w:pPr>
        <w:spacing w:after="100" w:line="259" w:lineRule="auto"/>
      </w:pPr>
      <w:r>
        <w:t>10.4. Исполнитель не удерживает комиссию платежного сервиса из возврата как фиксированный штраф. Если конкретная комиссия или иной расход действительно является невозвратимым, документально подтвержденным и непосредственно связанным с исполнением конкретного договора, вопрос о его учете решается в соответствии с законом и обстоятельствами заказа.</w:t>
      </w:r>
    </w:p>
    <w:p>
      <w:pPr>
        <w:pStyle w:val="Heading1"/>
      </w:pPr>
      <w:r>
        <w:t>11. Ошибочные и повторные списания</w:t>
      </w:r>
    </w:p>
    <w:p>
      <w:pPr>
        <w:spacing w:after="100" w:line="259" w:lineRule="auto"/>
      </w:pPr>
      <w:r>
        <w:t>11.1. При обнаружении технически повторного списания, платежа в неверной сумме либо списания после надлежащей отмены будущего продления Заказчик направляет Исполнителю сведения о платеже. Подтвержденная излишне списанная сумма подлежит возврату.</w:t>
      </w:r>
    </w:p>
    <w:p>
      <w:pPr>
        <w:spacing w:after="100" w:line="259" w:lineRule="auto"/>
      </w:pPr>
      <w:r>
        <w:t>11.2. Если Заказчик считает операцию несанкционированной, рекомендуется одновременно обратиться к Исполнителю и в обслуживающий банк/платежный сервис для фиксации обращения и проверки операции.</w:t>
      </w:r>
    </w:p>
    <w:p>
      <w:pPr>
        <w:pStyle w:val="Heading1"/>
        <w:pageBreakBefore/>
      </w:pPr>
      <w:r>
        <w:t>12. Контакты и реквизиты Исполнителя</w:t>
      </w:r>
    </w:p>
    <w:p>
      <w:pPr>
        <w:spacing w:after="60"/>
      </w:pPr>
      <w:r>
        <w:rPr>
          <w:b/>
          <w:color w:val="164F9C"/>
        </w:rPr>
        <w:t xml:space="preserve">Исполнитель: </w:t>
      </w:r>
      <w:r>
        <w:t>Индивидуальный предприниматель Белоножкина Нафиса Давудовна</w:t>
      </w:r>
    </w:p>
    <w:p>
      <w:pPr>
        <w:spacing w:after="60"/>
      </w:pPr>
      <w:r>
        <w:rPr>
          <w:b/>
          <w:color w:val="164F9C"/>
        </w:rPr>
        <w:t xml:space="preserve">ИНН: </w:t>
      </w:r>
      <w:r>
        <w:t>560200052255</w:t>
      </w:r>
    </w:p>
    <w:p>
      <w:pPr>
        <w:spacing w:after="60"/>
      </w:pPr>
      <w:r>
        <w:rPr>
          <w:b/>
          <w:color w:val="164F9C"/>
        </w:rPr>
        <w:t xml:space="preserve">ОГРНИП: </w:t>
      </w:r>
      <w:r>
        <w:t>309565827100281</w:t>
      </w:r>
    </w:p>
    <w:p>
      <w:pPr>
        <w:spacing w:after="60"/>
      </w:pPr>
      <w:r>
        <w:rPr>
          <w:b/>
          <w:color w:val="164F9C"/>
        </w:rPr>
        <w:t xml:space="preserve">Юридический адрес: </w:t>
      </w:r>
      <w:r>
        <w:t>108814, Россия, г. Москва, поселение Сосенское, поселок Коммунарка, ул. Александры Монаховой, д. 23, кв. 119</w:t>
      </w:r>
    </w:p>
    <w:p>
      <w:pPr>
        <w:spacing w:after="60"/>
      </w:pPr>
      <w:r>
        <w:rPr>
          <w:b/>
          <w:color w:val="164F9C"/>
        </w:rPr>
        <w:t xml:space="preserve">Электронная почта: </w:t>
      </w:r>
      <w:r>
        <w:t>raduga-425@mail.ru</w:t>
      </w:r>
    </w:p>
    <w:p>
      <w:pPr>
        <w:spacing w:after="60"/>
      </w:pPr>
      <w:r>
        <w:rPr>
          <w:b/>
          <w:color w:val="164F9C"/>
        </w:rPr>
        <w:t xml:space="preserve">Телефон: </w:t>
      </w:r>
      <w:r>
        <w:t>+7 (965) 259-92-59</w:t>
      </w:r>
    </w:p>
    <w:p>
      <w:pPr>
        <w:spacing w:after="60"/>
      </w:pPr>
      <w:r>
        <w:rPr>
          <w:b/>
          <w:color w:val="164F9C"/>
        </w:rPr>
        <w:t xml:space="preserve">Сайт: </w:t>
      </w:r>
      <w:r>
        <w:t>numerocalc.ru</w:t>
      </w:r>
    </w:p>
    <w:p>
      <w:pPr>
        <w:spacing w:after="60"/>
      </w:pPr>
      <w:r>
        <w:rPr>
          <w:b/>
          <w:color w:val="164F9C"/>
        </w:rPr>
        <w:t xml:space="preserve">Образовательная платформа: </w:t>
      </w:r>
      <w:r>
        <w:t>quantcalc.ru</w:t>
      </w:r>
    </w:p>
    <w:p>
      <w:pPr>
        <w:spacing w:after="60"/>
      </w:pPr>
      <w:r>
        <w:rPr>
          <w:b/>
          <w:color w:val="164F9C"/>
        </w:rPr>
        <w:t xml:space="preserve">Банк: </w:t>
      </w:r>
      <w:r>
        <w:t>АО «ТБанк»</w:t>
      </w:r>
    </w:p>
    <w:p>
      <w:pPr>
        <w:spacing w:after="60"/>
      </w:pPr>
      <w:r>
        <w:rPr>
          <w:b/>
          <w:color w:val="164F9C"/>
        </w:rPr>
        <w:t xml:space="preserve">Расчетный счет: </w:t>
      </w:r>
      <w:r>
        <w:t>40802810900009542468</w:t>
      </w:r>
    </w:p>
    <w:p>
      <w:pPr>
        <w:spacing w:after="60"/>
      </w:pPr>
      <w:r>
        <w:rPr>
          <w:b/>
          <w:color w:val="164F9C"/>
        </w:rPr>
        <w:t xml:space="preserve">БИК: </w:t>
      </w:r>
      <w:r>
        <w:t>044525974</w:t>
      </w:r>
    </w:p>
    <w:p>
      <w:pPr>
        <w:spacing w:after="60"/>
      </w:pPr>
      <w:r>
        <w:rPr>
          <w:b/>
          <w:color w:val="164F9C"/>
        </w:rPr>
        <w:t xml:space="preserve">Корреспондентский счет: </w:t>
      </w:r>
      <w:r>
        <w:t>30101810145250000974</w:t>
      </w:r>
    </w:p>
    <w:p>
      <w:pPr>
        <w:pStyle w:val="Heading1"/>
      </w:pPr>
      <w:r>
        <w:t>13. Правовая основа и действие Правил</w:t>
      </w:r>
    </w:p>
    <w:p>
      <w:pPr>
        <w:spacing w:after="100" w:line="259" w:lineRule="auto"/>
      </w:pPr>
      <w:r>
        <w:t>13.1. Правила подготовлены с учетом Гражданского кодекса Российской Федерации, в том числе положений об абонентском договоре и возмездном оказании услуг, Закона РФ от 07.02.1992 № 2300-1 «О защите прав потребителей» и иных применимых норм.</w:t>
      </w:r>
    </w:p>
    <w:p>
      <w:pPr>
        <w:spacing w:after="100" w:line="259" w:lineRule="auto"/>
      </w:pPr>
      <w:r>
        <w:t>13.2. Если отдельное положение настоящих Правил противоречит обязательной норме закона, применяется норма закона, а остальные положения Правил продолжают действовать в непротиворечащей части.</w:t>
      </w:r>
    </w:p>
    <w:p>
      <w:pPr>
        <w:spacing w:after="100" w:line="259" w:lineRule="auto"/>
      </w:pPr>
      <w:r>
        <w:t>13.3. Актуальная редакция размещается на интернет-ресурсах Исполнителя. Новая редакция не ухудшает условия уже оплаченного объема задним числом и применяется к новым заказам либо будущим периодам в предусмотренном законом порядке.</w:t>
      </w:r>
    </w:p>
    <w:p>
      <w:pPr>
        <w:spacing w:before="160"/>
      </w:pPr>
      <w:r>
        <w:rPr>
          <w:b/>
          <w:color w:val="164F9C"/>
        </w:rPr>
        <w:t>Редакция действует с 04 сентября 2026 года.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Calibri" w:hAnsi="Calibri" w:eastAsia="Calibri"/>
        <w:color w:val="5C6570"/>
        <w:sz w:val="16"/>
      </w:rPr>
      <w:t xml:space="preserve">Редакция от 04.09.2026  •  </w:t>
    </w:r>
    <w:r>
      <w:rPr>
        <w:color w:val="5C6570"/>
        <w:sz w:val="16"/>
      </w:rPr>
      <w:t xml:space="preserve">Страница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color w:val="5C6570"/>
        <w:sz w:val="16"/>
      </w:rPr>
      <w:t>ИП БЕЛОНОЖКИНА Н. Д.  |  ЮРИДИЧЕСКИЕ ДОКУМЕНТЫ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164F9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64F9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3356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Note">
    <w:name w:val="Legal Note"/>
    <w:pPr>
      <w:spacing w:before="120" w:after="160" w:line="264" w:lineRule="auto"/>
      <w:ind w:left="259" w:right="259"/>
    </w:pPr>
    <w:rPr>
      <w:rFonts w:ascii="Calibri" w:hAnsi="Calibri"/>
      <w:color w:val="03356A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 Паспорт комплекта и чек-лист</dc:title>
  <dc:subject>Юридические документы ИП Белоножкиной Нафисы Давудовны</dc:subject>
  <dc:creator>ИП Белоножкина Нафиса Давудовна</dc:creator>
  <cp:keywords>оферта, персональные данные, онлайн-курс, консультации</cp:keywords>
  <dc:description>Редакция от 04.09.2026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