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100"/>
      </w:pPr>
      <w:r>
        <w:rPr>
          <w:rFonts w:ascii="Calibri" w:hAnsi="Calibri"/>
          <w:b/>
          <w:color w:val="03356A"/>
          <w:sz w:val="42"/>
        </w:rPr>
        <w:t>СОГЛАСИЕ НА ОБРАБОТКУ</w:t>
        <w:br/>
        <w:t>ПЕРСОНАЛЬНЫХ ДАННЫХ ДЛЯ МАРКЕТИНГА</w:t>
      </w:r>
    </w:p>
    <w:p>
      <w:pPr>
        <w:spacing w:after="260"/>
      </w:pPr>
      <w:r>
        <w:rPr>
          <w:rFonts w:ascii="Calibri" w:hAnsi="Calibri"/>
          <w:i/>
          <w:color w:val="5C6570"/>
          <w:sz w:val="22"/>
        </w:rPr>
        <w:t>для анализа интересов, сегментации аудитории и персонализации предложений</w:t>
      </w:r>
    </w:p>
    <w:p>
      <w:pPr>
        <w:pStyle w:val="Heading1"/>
      </w:pPr>
      <w:r>
        <w:t>1. Общие положения</w:t>
      </w:r>
    </w:p>
    <w:p>
      <w:r>
        <w:t>1.1. Настоящее Согласие на обработку персональных данных для маркетинга (далее — «Согласие») предоставляется субъектом персональных данных Индивидуальному предпринимателю Белоножкиной Нафисе Давудовне, ИНН 560200052255, ОГРНИП 309565827100281 (далее — «Оператор»).</w:t>
      </w:r>
    </w:p>
    <w:p>
      <w:r>
        <w:t>1.2. Согласие является добровольным, оформляется отдельно от публичной оферты, согласия на обработку персональных данных для заказа и исполнения договора, пользовательского соглашения и иных документов, подтверждаемых Пользователем.</w:t>
      </w:r>
    </w:p>
    <w:p>
      <w:r>
        <w:t>1.3. Непредоставление настоящего Согласия либо его отзыв не ограничивает возможность Пользователя приобретать и получать услуги Оператора. Маркетинговая обработка персональных данных по настоящему Согласию не является условием заключения или исполнения договора с Оператором.</w:t>
      </w:r>
    </w:p>
    <w:p>
      <w:r>
        <w:t>1.4. Настоящее Согласие не является согласием на получение рекламы по электронной почте, телефону, в мессенджерах, социальных сетях или посредством иных сетей электросвязи. Для направления таких сообщений Оператор получает отдельное предварительное согласие.</w:t>
      </w:r>
    </w:p>
    <w:p>
      <w:pPr>
        <w:pStyle w:val="Heading1"/>
      </w:pPr>
      <w:r>
        <w:t>2. Сведения об Операторе</w:t>
      </w:r>
    </w:p>
    <w:p>
      <w:r>
        <w:rPr>
          <w:b/>
          <w:color w:val="164F9C"/>
        </w:rPr>
        <w:t xml:space="preserve">Оператор: </w:t>
      </w:r>
      <w:r>
        <w:t>Индивидуальный предприниматель Белоножкина Нафиса Давудовна</w:t>
      </w:r>
    </w:p>
    <w:p>
      <w:r>
        <w:rPr>
          <w:b/>
          <w:color w:val="164F9C"/>
        </w:rPr>
        <w:t xml:space="preserve">ИНН: </w:t>
      </w:r>
      <w:r>
        <w:t>560200052255</w:t>
      </w:r>
    </w:p>
    <w:p>
      <w:r>
        <w:rPr>
          <w:b/>
          <w:color w:val="164F9C"/>
        </w:rPr>
        <w:t xml:space="preserve">ОГРНИП: </w:t>
      </w:r>
      <w:r>
        <w:t>309565827100281</w:t>
      </w:r>
    </w:p>
    <w:p>
      <w:r>
        <w:rPr>
          <w:b/>
          <w:color w:val="164F9C"/>
        </w:rPr>
        <w:t xml:space="preserve">Юридический адрес: </w:t>
      </w:r>
      <w:r>
        <w:t>108814, Россия, г. Москва, поселение Сосенское, поселок Коммунарка, ул. Александры Монаховой, д. 23, кв. 119</w:t>
      </w:r>
    </w:p>
    <w:p>
      <w:r>
        <w:rPr>
          <w:b/>
          <w:color w:val="164F9C"/>
        </w:rPr>
        <w:t xml:space="preserve">Электронная почта: </w:t>
      </w:r>
      <w:r>
        <w:t>raduga-425@mail.ru</w:t>
      </w:r>
    </w:p>
    <w:p>
      <w:r>
        <w:rPr>
          <w:b/>
          <w:color w:val="164F9C"/>
        </w:rPr>
        <w:t xml:space="preserve">Телефон: </w:t>
      </w:r>
      <w:r>
        <w:t>+7 (965) 259-92-59</w:t>
      </w:r>
    </w:p>
    <w:p>
      <w:r>
        <w:rPr>
          <w:b/>
          <w:color w:val="164F9C"/>
        </w:rPr>
        <w:t xml:space="preserve">Сайт: </w:t>
      </w:r>
      <w:r>
        <w:t>numerocalc.ru</w:t>
      </w:r>
    </w:p>
    <w:p>
      <w:r>
        <w:rPr>
          <w:b/>
          <w:color w:val="164F9C"/>
        </w:rPr>
        <w:t xml:space="preserve">Образовательная платформа: </w:t>
      </w:r>
      <w:r>
        <w:t>quantcalc.ru</w:t>
      </w:r>
    </w:p>
    <w:p>
      <w:pPr>
        <w:pStyle w:val="Heading1"/>
        <w:keepNext/>
      </w:pPr>
      <w:r>
        <w:t>3. Цели обработки персональных данных</w:t>
      </w:r>
    </w:p>
    <w:p>
      <w:pPr>
        <w:keepNext/>
      </w:pPr>
      <w:r>
        <w:t>3.1. Пользователь предоставляет Оператору согласие на обработку персональных данных для следующих маркетинговых целей:</w:t>
      </w:r>
    </w:p>
    <w:p>
      <w:pPr>
        <w:pStyle w:val="ListBullet"/>
        <w:keepNext/>
        <w:spacing w:after="40" w:line="252" w:lineRule="auto"/>
      </w:pPr>
      <w:r>
        <w:t>изучение интересов и предпочтений Пользователя в отношении продуктов и услуг Оператора;</w:t>
      </w:r>
    </w:p>
    <w:p>
      <w:pPr>
        <w:pStyle w:val="ListBullet"/>
        <w:spacing w:after="40" w:line="252" w:lineRule="auto"/>
      </w:pPr>
      <w:r>
        <w:t>сегментация аудитории и формирование групп Пользователей по интересам, приобретенным продуктам и характеру взаимодействия с интернет-ресурсами Оператора;</w:t>
      </w:r>
    </w:p>
    <w:p>
      <w:pPr>
        <w:pStyle w:val="ListBullet"/>
        <w:spacing w:after="40" w:line="252" w:lineRule="auto"/>
      </w:pPr>
      <w:r>
        <w:t>персонализация содержания сайта, предложений, страниц продуктов и иных материалов Оператора;</w:t>
      </w:r>
    </w:p>
    <w:p>
      <w:pPr>
        <w:pStyle w:val="ListBullet"/>
        <w:spacing w:after="40" w:line="252" w:lineRule="auto"/>
      </w:pPr>
      <w:r>
        <w:t>анализ эффективности рекламных и маркетинговых кампаний, источников обращений и каналов привлечения;</w:t>
      </w:r>
    </w:p>
    <w:p>
      <w:pPr>
        <w:pStyle w:val="ListBullet"/>
        <w:spacing w:after="40" w:line="252" w:lineRule="auto"/>
      </w:pPr>
      <w:r>
        <w:t>оценка интереса к продуктам, услугам, образовательным программам, клубам и иным предложениям Оператора;</w:t>
      </w:r>
    </w:p>
    <w:p>
      <w:pPr>
        <w:pStyle w:val="ListBullet"/>
        <w:spacing w:after="40" w:line="252" w:lineRule="auto"/>
      </w:pPr>
      <w:r>
        <w:t>формирование статистики и маркетинговой аналитики, в том числе в обезличенном или агрегированном виде;</w:t>
      </w:r>
    </w:p>
    <w:p>
      <w:pPr>
        <w:pStyle w:val="ListBullet"/>
        <w:spacing w:after="40" w:line="252" w:lineRule="auto"/>
      </w:pPr>
      <w:r>
        <w:t>подготовка предложений, которые могут соответствовать интересам Пользователя, без их направления по сетям электросвязи до получения отдельного согласия на рекламно-информационные рассылки.</w:t>
      </w:r>
    </w:p>
    <w:p>
      <w:pPr>
        <w:pStyle w:val="Heading1"/>
      </w:pPr>
      <w:r>
        <w:t>4. Перечень персональных данных</w:t>
      </w:r>
    </w:p>
    <w:p>
      <w:r>
        <w:t>4.1. В зависимости от способа взаимодействия с Оператором в рамках настоящего Согласия могут обрабатываться:</w:t>
      </w:r>
    </w:p>
    <w:p>
      <w:pPr>
        <w:pStyle w:val="ListBullet"/>
        <w:spacing w:after="40" w:line="252" w:lineRule="auto"/>
      </w:pPr>
      <w:r>
        <w:t>фамилия, имя, отчество — если они ранее предоставлены Пользователем;</w:t>
      </w:r>
    </w:p>
    <w:p>
      <w:pPr>
        <w:pStyle w:val="ListBullet"/>
        <w:spacing w:after="40" w:line="252" w:lineRule="auto"/>
      </w:pPr>
      <w:r>
        <w:t>номер телефона и адрес электронной почты — как идентификаторы Пользователя в клиентской базе, без использования для рекламной рассылки при отсутствии отдельного согласия;</w:t>
      </w:r>
    </w:p>
    <w:p>
      <w:pPr>
        <w:pStyle w:val="ListBullet"/>
        <w:spacing w:after="40" w:line="252" w:lineRule="auto"/>
      </w:pPr>
      <w:r>
        <w:t>город проживания — если ранее предоставлен Пользователем;</w:t>
      </w:r>
    </w:p>
    <w:p>
      <w:pPr>
        <w:pStyle w:val="ListBullet"/>
        <w:spacing w:after="40" w:line="252" w:lineRule="auto"/>
      </w:pPr>
      <w:r>
        <w:t>сведения о приобретенных продуктах, услугах, тарифах, подписках и участии в клубах;</w:t>
      </w:r>
    </w:p>
    <w:p>
      <w:pPr>
        <w:pStyle w:val="ListBullet"/>
        <w:spacing w:after="40" w:line="252" w:lineRule="auto"/>
      </w:pPr>
      <w:r>
        <w:t>сведения о заявках, обращениях и интересе к отдельным продуктам или услугам;</w:t>
      </w:r>
    </w:p>
    <w:p>
      <w:pPr>
        <w:pStyle w:val="ListBullet"/>
        <w:spacing w:after="40" w:line="252" w:lineRule="auto"/>
      </w:pPr>
      <w:r>
        <w:t>источник перехода или обращения, рекламная метка, UTM-метка и иные данные об источнике привлечения;</w:t>
      </w:r>
    </w:p>
    <w:p>
      <w:pPr>
        <w:pStyle w:val="ListBullet"/>
        <w:spacing w:after="40" w:line="252" w:lineRule="auto"/>
      </w:pPr>
      <w:r>
        <w:t>данные о взаимодействии с интернет-ресурсами Оператора: просмотренные страницы, переходы, события и действия на сайте — при наличии законного основания для их сбора;</w:t>
      </w:r>
    </w:p>
    <w:p>
      <w:pPr>
        <w:pStyle w:val="ListBullet"/>
        <w:spacing w:after="40" w:line="252" w:lineRule="auto"/>
      </w:pPr>
      <w:r>
        <w:t>технические идентификаторы и данные, связанные с использованием сайта: IP-адрес, сведения о браузере и устройстве, идентификатор сессии и аналогичные технические сведения — в объеме, необходимом для маркетинговой аналитики и подтверждения согласия;</w:t>
      </w:r>
    </w:p>
    <w:p>
      <w:pPr>
        <w:pStyle w:val="ListBullet"/>
        <w:spacing w:after="40" w:line="252" w:lineRule="auto"/>
      </w:pPr>
      <w:r>
        <w:t>маркетинговые признаки, теги, сегменты и выводы о предполагаемых интересах Пользователя, сформированные на основе перечисленных выше данных.</w:t>
      </w:r>
    </w:p>
    <w:p>
      <w:r>
        <w:t>4.2. Оператор не использует в маркетинговых целях специальные категории персональных данных, биометрические персональные данные, сведения о здоровье, диагнозах, религиозных или политических убеждениях и иные данные, для обработки которых законом установлен специальный режим.</w:t>
      </w:r>
    </w:p>
    <w:p>
      <w:r>
        <w:t>4.3. Сведения, предоставленные Пользователем исключительно для оказания конкретной услуги и не необходимые для маркетинговых целей, не должны использоваться для маркетинга только на основании настоящего Согласия.</w:t>
      </w:r>
    </w:p>
    <w:p>
      <w:pPr>
        <w:pStyle w:val="Heading1"/>
      </w:pPr>
      <w:r>
        <w:t>5. Действия с персональными данными и способы обработки</w:t>
      </w:r>
    </w:p>
    <w:p>
      <w:r>
        <w:t>5.1. Пользователь дает согласие на совершение Оператором следующих действий с персональными данными: сбор, запись, систематизация, накопление, хранение, уточнение (обновление, изменение), извлечение, использование, сопоставление, анализ, сегментация, обезличивание, передача (предоставление, доступ) лицам, указанным в разделе 6 настоящего Согласия, блокирование, удаление и уничтожение.</w:t>
      </w:r>
    </w:p>
    <w:p>
      <w:r>
        <w:t>5.2. Обработка может осуществляться с использованием средств автоматизации, без использования таких средств, а также смешанным способом.</w:t>
      </w:r>
    </w:p>
    <w:p>
      <w:r>
        <w:t>5.3. Решения, порождающие юридические последствия для Пользователя или иным образом затрагивающие его права и законные интересы, не принимаются исключительно на основании автоматизированной маркетинговой обработки в рамках настоящего Согласия.</w:t>
      </w:r>
    </w:p>
    <w:p>
      <w:pPr>
        <w:pStyle w:val="Heading1"/>
      </w:pPr>
      <w:r>
        <w:t>6. Лица, участвующие в обработке</w:t>
      </w:r>
    </w:p>
    <w:p>
      <w:r>
        <w:t>6.1. Для достижения маркетинговых целей Оператор вправе поручать обработку персональных данных либо предоставлять к ним доступ в необходимом объеме организациям и сервисам, фактически используемым Оператором, в том числе:</w:t>
      </w:r>
    </w:p>
    <w:p>
      <w:pPr>
        <w:pStyle w:val="ListBullet"/>
        <w:spacing w:after="40" w:line="252" w:lineRule="auto"/>
      </w:pPr>
      <w:r>
        <w:t>операторам CRM и систем учета клиентов;</w:t>
      </w:r>
    </w:p>
    <w:p>
      <w:pPr>
        <w:pStyle w:val="ListBullet"/>
        <w:spacing w:after="40" w:line="252" w:lineRule="auto"/>
      </w:pPr>
      <w:r>
        <w:t>сервисам веб-аналитики и статистики;</w:t>
      </w:r>
    </w:p>
    <w:p>
      <w:pPr>
        <w:pStyle w:val="ListBullet"/>
        <w:spacing w:after="40" w:line="252" w:lineRule="auto"/>
      </w:pPr>
      <w:r>
        <w:t>хостинг-провайдерам и поставщикам информационно-технической инфраструктуры;</w:t>
      </w:r>
    </w:p>
    <w:p>
      <w:pPr>
        <w:pStyle w:val="ListBullet"/>
        <w:spacing w:after="40" w:line="252" w:lineRule="auto"/>
      </w:pPr>
      <w:r>
        <w:t>сервисам управления формами, заявками и маркетинговыми данными;</w:t>
      </w:r>
    </w:p>
    <w:p>
      <w:pPr>
        <w:pStyle w:val="ListBullet"/>
        <w:spacing w:after="40" w:line="252" w:lineRule="auto"/>
      </w:pPr>
      <w:r>
        <w:t>подрядчикам Оператора, осуществляющим техническое сопровождение сайтов, аналитики и маркетинговых систем.</w:t>
      </w:r>
    </w:p>
    <w:p>
      <w:r>
        <w:t>6.2. Передача осуществляется только в объеме, необходимом для соответствующей маркетинговой цели. Категории получателей персональных данных и общие условия их обработки отражаются в Политике в отношении обработки персональных данных Оператора. Фактический состав используемых сервисов подлежит актуализации Оператором при изменении его информационной инфраструктуры.</w:t>
      </w:r>
    </w:p>
    <w:p>
      <w:r>
        <w:t>6.3. Если использование конкретного иностранного сервиса предполагает трансграничную передачу персональных данных, такая передача осуществляется только после выполнения требований законодательства Российской Федерации.</w:t>
      </w:r>
    </w:p>
    <w:p>
      <w:pPr>
        <w:pStyle w:val="Heading1"/>
      </w:pPr>
      <w:r>
        <w:t>7. Срок действия Согласия</w:t>
      </w:r>
    </w:p>
    <w:p>
      <w:r>
        <w:t>7.1. Настоящее Согласие действует со дня его предоставления до достижения целей маркетинговой обработки либо до его отзыва Пользователем, если законодательством Российской Федерации не предусмотрено иное основание для соответствующей обработки.</w:t>
      </w:r>
    </w:p>
    <w:p>
      <w:r>
        <w:t>7.2. После прекращения действия Согласия персональные данные, обрабатываемые исключительно для целей маркетинга, подлежат удалению или уничтожению, если отсутствует иное законное основание для их хранения или обработки.</w:t>
      </w:r>
    </w:p>
    <w:p>
      <w:pPr>
        <w:pStyle w:val="Heading1"/>
      </w:pPr>
      <w:r>
        <w:t>8. Отзыв Согласия</w:t>
      </w:r>
    </w:p>
    <w:p>
      <w:r>
        <w:t>8.1. Пользователь вправе в любое время отозвать настоящее Согласие путем направления заявления на электронную почту Оператора: raduga-425@mail.ru.</w:t>
      </w:r>
    </w:p>
    <w:p>
      <w:r>
        <w:t>8.2. В заявлении рекомендуется указать фамилию, имя, контактные данные и сведения, позволяющие Оператору идентифицировать Пользователя и определить, какое согласие отзывается.</w:t>
      </w:r>
    </w:p>
    <w:p>
      <w:r>
        <w:t>8.3. Если соответствующая обработка осуществлялась исключительно на основании настоящего Согласия и отсутствуют иные законные основания, Оператор прекращает такую обработку и уничтожает персональные данные либо обеспечивает их уничтожение в срок, не превышающий 30 дней со дня получения отзыва, если иной срок или порядок не предусмотрен законодательством Российской Федерации.</w:t>
      </w:r>
    </w:p>
    <w:p>
      <w:pPr>
        <w:pStyle w:val="Heading1"/>
      </w:pPr>
      <w:r>
        <w:t>9. Форма предоставления и подтверждение Согласия</w:t>
      </w:r>
    </w:p>
    <w:p>
      <w:r>
        <w:t>9.1. Настоящее Согласие предоставляется отдельным однозначным действием Пользователя и не включается в текст оферты, договора или иного согласия.</w:t>
      </w:r>
    </w:p>
    <w:p>
      <w:r>
        <w:t>9.2. Оператор вправе сохранять сведения, необходимые для подтверждения факта и содержания Согласия, включая дату и время, идентификатор Пользователя или сессии, версию документа и техническое событие подтверждения.</w:t>
      </w:r>
    </w:p>
    <w:p>
      <w:r>
        <w:t>9.3. Предоставление настоящего Согласия является добровольным. Его непредоставление не препятствует оформлению заказа, заключению договора или приобретению основной услуги Оператора.</w:t>
      </w:r>
    </w:p>
    <w:p>
      <w:pPr>
        <w:pStyle w:val="Heading1"/>
      </w:pPr>
      <w:r>
        <w:t>10. Подтверждение Пользователя</w:t>
      </w:r>
    </w:p>
    <w:p>
      <w:r>
        <w:t>Предоставляя настоящее Согласие, Пользователь подтверждает, что:</w:t>
      </w:r>
    </w:p>
    <w:p>
      <w:pPr>
        <w:pStyle w:val="ListBullet"/>
        <w:spacing w:after="40" w:line="252" w:lineRule="auto"/>
      </w:pPr>
      <w:r>
        <w:t>ознакомился с настоящим Согласием до его предоставления;</w:t>
      </w:r>
    </w:p>
    <w:p>
      <w:pPr>
        <w:pStyle w:val="ListBullet"/>
        <w:spacing w:after="40" w:line="252" w:lineRule="auto"/>
      </w:pPr>
      <w:r>
        <w:t>ознакомился с Политикой в отношении обработки персональных данных Оператора;</w:t>
      </w:r>
    </w:p>
    <w:p>
      <w:pPr>
        <w:pStyle w:val="ListBullet"/>
        <w:spacing w:after="40" w:line="252" w:lineRule="auto"/>
      </w:pPr>
      <w:r>
        <w:t>понимает цели, перечень данных, действия с ними, срок обработки и порядок отзыва;</w:t>
      </w:r>
    </w:p>
    <w:p>
      <w:pPr>
        <w:pStyle w:val="ListBullet"/>
        <w:spacing w:after="40" w:line="252" w:lineRule="auto"/>
      </w:pPr>
      <w:r>
        <w:t>понимает добровольный характер настоящего Согласия и возможность отказаться от него без отказа в приобретении основной услуги;</w:t>
      </w:r>
    </w:p>
    <w:p>
      <w:pPr>
        <w:pStyle w:val="ListBullet"/>
        <w:spacing w:after="40" w:line="252" w:lineRule="auto"/>
      </w:pPr>
      <w:r>
        <w:t>понимает, что для получения рекламных и маркетинговых сообщений по электронной почте, телефону, в мессенджерах и иных сетях электросвязи требуется отдельное согласие.</w:t>
      </w:r>
    </w:p>
    <w:p>
      <w:pPr>
        <w:spacing w:before="160"/>
      </w:pPr>
      <w:r>
        <w:rPr>
          <w:b/>
          <w:color w:val="164F9C"/>
        </w:rPr>
        <w:t>Редакция действует с 04 сентября 2026 года.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Calibri" w:hAnsi="Calibri" w:eastAsia="Calibri"/>
        <w:color w:val="5C6570"/>
        <w:sz w:val="16"/>
      </w:rPr>
      <w:t xml:space="preserve">Редакция от 04.09.2026  •  </w:t>
    </w:r>
    <w:r>
      <w:rPr>
        <w:color w:val="5C6570"/>
        <w:sz w:val="16"/>
      </w:rPr>
      <w:t xml:space="preserve">Страница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color w:val="5C6570"/>
        <w:sz w:val="16"/>
      </w:rPr>
      <w:t>ИП БЕЛОНОЖКИНА Н. Д.  |  ЮРИДИЧЕСКИЕ ДОКУМЕНТЫ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164F9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64F9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3356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Note">
    <w:name w:val="Legal Note"/>
    <w:pPr>
      <w:spacing w:before="120" w:after="160" w:line="264" w:lineRule="auto"/>
      <w:ind w:left="259" w:right="259"/>
    </w:pPr>
    <w:rPr>
      <w:rFonts w:ascii="Calibri" w:hAnsi="Calibri"/>
      <w:color w:val="03356A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 Паспорт комплекта и чек-лист</dc:title>
  <dc:subject>Юридические документы ИП Белоножкиной Нафисы Давудовны</dc:subject>
  <dc:creator>ИП Белоножкина Нафиса Давудовна</dc:creator>
  <cp:keywords>оферта, персональные данные, онлайн-курс, консультации</cp:keywords>
  <dc:description>Редакция от 04.09.2026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